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7FA40" w14:textId="77777777" w:rsidR="00244867" w:rsidRDefault="00244867">
      <w:bookmarkStart w:id="0" w:name="_GoBack"/>
      <w:bookmarkEnd w:id="0"/>
    </w:p>
    <w:p w14:paraId="5E28251E" w14:textId="77777777" w:rsidR="00063A4E" w:rsidRDefault="00063A4E" w:rsidP="00063A4E">
      <w:pPr>
        <w:jc w:val="center"/>
        <w:rPr>
          <w:b/>
        </w:rPr>
      </w:pPr>
      <w:r>
        <w:rPr>
          <w:b/>
          <w:noProof/>
          <w:lang w:eastAsia="en-GB"/>
        </w:rPr>
        <w:drawing>
          <wp:inline distT="0" distB="0" distL="0" distR="0" wp14:anchorId="0235A925" wp14:editId="5FA6B3E0">
            <wp:extent cx="2849127" cy="1229222"/>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mh1.png"/>
                    <pic:cNvPicPr/>
                  </pic:nvPicPr>
                  <pic:blipFill>
                    <a:blip r:embed="rId6">
                      <a:extLst>
                        <a:ext uri="{28A0092B-C50C-407E-A947-70E740481C1C}">
                          <a14:useLocalDpi xmlns:a14="http://schemas.microsoft.com/office/drawing/2010/main" val="0"/>
                        </a:ext>
                      </a:extLst>
                    </a:blip>
                    <a:stretch>
                      <a:fillRect/>
                    </a:stretch>
                  </pic:blipFill>
                  <pic:spPr>
                    <a:xfrm>
                      <a:off x="0" y="0"/>
                      <a:ext cx="2849127" cy="1229222"/>
                    </a:xfrm>
                    <a:prstGeom prst="rect">
                      <a:avLst/>
                    </a:prstGeom>
                  </pic:spPr>
                </pic:pic>
              </a:graphicData>
            </a:graphic>
          </wp:inline>
        </w:drawing>
      </w:r>
    </w:p>
    <w:p w14:paraId="4524CEC2" w14:textId="6CC8437F" w:rsidR="00063A4E" w:rsidRDefault="00063A4E" w:rsidP="00063A4E">
      <w:pPr>
        <w:jc w:val="center"/>
        <w:rPr>
          <w:b/>
          <w:color w:val="548DD4" w:themeColor="text2" w:themeTint="99"/>
          <w:sz w:val="40"/>
          <w:szCs w:val="40"/>
        </w:rPr>
      </w:pPr>
      <w:r>
        <w:rPr>
          <w:b/>
          <w:color w:val="548DD4" w:themeColor="text2" w:themeTint="99"/>
          <w:sz w:val="40"/>
          <w:szCs w:val="40"/>
        </w:rPr>
        <w:t>Policy on Financial Risk</w:t>
      </w:r>
    </w:p>
    <w:p w14:paraId="301CC0AB" w14:textId="77777777" w:rsidR="0043353F" w:rsidRDefault="0043353F" w:rsidP="00D11C31">
      <w:pPr>
        <w:spacing w:after="0" w:line="240" w:lineRule="auto"/>
        <w:rPr>
          <w:rFonts w:ascii="Arial" w:hAnsi="Arial"/>
          <w:b/>
          <w:sz w:val="24"/>
        </w:rPr>
      </w:pPr>
      <w:r>
        <w:rPr>
          <w:rFonts w:ascii="Arial" w:hAnsi="Arial"/>
          <w:b/>
          <w:sz w:val="24"/>
        </w:rPr>
        <w:t>R</w:t>
      </w:r>
      <w:r w:rsidRPr="0043353F">
        <w:rPr>
          <w:rFonts w:ascii="Arial" w:hAnsi="Arial"/>
          <w:b/>
          <w:sz w:val="24"/>
        </w:rPr>
        <w:t>isks faced</w:t>
      </w:r>
    </w:p>
    <w:p w14:paraId="5A1831F1" w14:textId="77777777" w:rsidR="00D11C31" w:rsidRPr="0043353F" w:rsidRDefault="00D11C31" w:rsidP="00D11C31">
      <w:pPr>
        <w:spacing w:after="0" w:line="240" w:lineRule="auto"/>
        <w:rPr>
          <w:rFonts w:ascii="Arial" w:hAnsi="Arial"/>
          <w:b/>
          <w:sz w:val="24"/>
        </w:rPr>
      </w:pPr>
    </w:p>
    <w:p w14:paraId="6D40D1E0" w14:textId="77777777" w:rsidR="00244867" w:rsidRDefault="00244867" w:rsidP="00D11C31">
      <w:pPr>
        <w:spacing w:after="0" w:line="240" w:lineRule="auto"/>
        <w:rPr>
          <w:rFonts w:ascii="Calibri" w:hAnsi="Calibri" w:cs="Times New Roman"/>
          <w:iCs/>
        </w:rPr>
      </w:pPr>
      <w:r w:rsidRPr="00987F27">
        <w:rPr>
          <w:rFonts w:ascii="Calibri" w:hAnsi="Calibri" w:cs="Times New Roman"/>
          <w:iCs/>
        </w:rPr>
        <w:t>The financial risks facing QMH can be summarised into a number of categories, as follows:</w:t>
      </w:r>
    </w:p>
    <w:p w14:paraId="6AC06AB8" w14:textId="77777777" w:rsidR="00D11C31" w:rsidRPr="00987F27" w:rsidRDefault="00D11C31" w:rsidP="00D11C31">
      <w:pPr>
        <w:spacing w:after="0" w:line="240" w:lineRule="auto"/>
        <w:rPr>
          <w:rFonts w:ascii="Calibri" w:hAnsi="Calibri" w:cs="Times New Roman"/>
          <w:iCs/>
        </w:rPr>
      </w:pPr>
    </w:p>
    <w:p w14:paraId="72CB07DB" w14:textId="77777777" w:rsidR="00244867" w:rsidRPr="00987F27" w:rsidRDefault="00244867" w:rsidP="00D11C31">
      <w:pPr>
        <w:pStyle w:val="ListParagraph"/>
        <w:numPr>
          <w:ilvl w:val="0"/>
          <w:numId w:val="5"/>
        </w:numPr>
        <w:rPr>
          <w:iCs/>
        </w:rPr>
      </w:pPr>
      <w:r w:rsidRPr="00987F27">
        <w:rPr>
          <w:iCs/>
        </w:rPr>
        <w:t>Reduction in bookings income threatening viability</w:t>
      </w:r>
    </w:p>
    <w:p w14:paraId="71F955CA" w14:textId="77777777" w:rsidR="00244867" w:rsidRDefault="00244867" w:rsidP="00D11C31">
      <w:pPr>
        <w:pStyle w:val="ListParagraph"/>
        <w:numPr>
          <w:ilvl w:val="0"/>
          <w:numId w:val="5"/>
        </w:numPr>
        <w:rPr>
          <w:iCs/>
        </w:rPr>
      </w:pPr>
      <w:r w:rsidRPr="00987F27">
        <w:rPr>
          <w:iCs/>
        </w:rPr>
        <w:t>Increase in expense outgo threatening viability. This may result from an increase in general running expenses, greater than planned outlay on maintenance or replacement or even fines resulting from regulatory failures</w:t>
      </w:r>
    </w:p>
    <w:p w14:paraId="055D22B1" w14:textId="77777777" w:rsidR="007D1025" w:rsidRPr="00987F27" w:rsidRDefault="007D1025" w:rsidP="00D11C31">
      <w:pPr>
        <w:pStyle w:val="ListParagraph"/>
        <w:numPr>
          <w:ilvl w:val="0"/>
          <w:numId w:val="5"/>
        </w:numPr>
        <w:rPr>
          <w:iCs/>
        </w:rPr>
      </w:pPr>
      <w:r>
        <w:rPr>
          <w:iCs/>
        </w:rPr>
        <w:t>Public liability claim</w:t>
      </w:r>
    </w:p>
    <w:p w14:paraId="6108A0F6" w14:textId="77777777" w:rsidR="00244867" w:rsidRPr="00987F27" w:rsidRDefault="00244867" w:rsidP="00D11C31">
      <w:pPr>
        <w:pStyle w:val="ListParagraph"/>
        <w:numPr>
          <w:ilvl w:val="0"/>
          <w:numId w:val="5"/>
        </w:numPr>
        <w:rPr>
          <w:iCs/>
        </w:rPr>
      </w:pPr>
      <w:r w:rsidRPr="00987F27">
        <w:rPr>
          <w:iCs/>
        </w:rPr>
        <w:t>Damage to, or theft or loss of, fabric of hall or fittings/contents</w:t>
      </w:r>
    </w:p>
    <w:p w14:paraId="2313F435" w14:textId="77777777" w:rsidR="00244867" w:rsidRPr="00987F27" w:rsidRDefault="00244867" w:rsidP="00D11C31">
      <w:pPr>
        <w:pStyle w:val="ListParagraph"/>
        <w:numPr>
          <w:ilvl w:val="0"/>
          <w:numId w:val="5"/>
        </w:numPr>
        <w:rPr>
          <w:iCs/>
        </w:rPr>
      </w:pPr>
      <w:r w:rsidRPr="00987F27">
        <w:rPr>
          <w:iCs/>
        </w:rPr>
        <w:t>Fraud by those dealing with money</w:t>
      </w:r>
    </w:p>
    <w:p w14:paraId="4F8C4BE0" w14:textId="77777777" w:rsidR="00244867" w:rsidRPr="00987F27" w:rsidRDefault="00244867" w:rsidP="00D11C31">
      <w:pPr>
        <w:pStyle w:val="ListParagraph"/>
        <w:numPr>
          <w:ilvl w:val="0"/>
          <w:numId w:val="5"/>
        </w:numPr>
        <w:rPr>
          <w:iCs/>
        </w:rPr>
      </w:pPr>
      <w:r w:rsidRPr="00987F27">
        <w:rPr>
          <w:iCs/>
        </w:rPr>
        <w:t>Investment loss/poor performance</w:t>
      </w:r>
    </w:p>
    <w:p w14:paraId="5447BA2C" w14:textId="77777777" w:rsidR="0043353F" w:rsidRPr="00987F27" w:rsidRDefault="0043353F" w:rsidP="00D11C31">
      <w:pPr>
        <w:spacing w:after="0" w:line="240" w:lineRule="auto"/>
        <w:rPr>
          <w:rFonts w:ascii="Calibri" w:hAnsi="Calibri" w:cs="Times New Roman"/>
          <w:iCs/>
        </w:rPr>
      </w:pPr>
    </w:p>
    <w:p w14:paraId="5EBE161B" w14:textId="77777777" w:rsidR="00F854E4" w:rsidRPr="00987F27" w:rsidRDefault="00F854E4" w:rsidP="00D11C31">
      <w:pPr>
        <w:spacing w:after="0" w:line="240" w:lineRule="auto"/>
        <w:rPr>
          <w:rFonts w:ascii="Calibri" w:hAnsi="Calibri" w:cs="Times New Roman"/>
          <w:iCs/>
        </w:rPr>
      </w:pPr>
      <w:r w:rsidRPr="00987F27">
        <w:rPr>
          <w:rFonts w:ascii="Calibri" w:hAnsi="Calibri" w:cs="Times New Roman"/>
          <w:iCs/>
        </w:rPr>
        <w:t>The trustees are mindful of these risks and, where possible, have taken action to reduce the likelihood of the risk crystallising and/or to mitigate the financial impact if the risk does crystallise. Details of these actions are given below.</w:t>
      </w:r>
    </w:p>
    <w:p w14:paraId="3D62E7C5" w14:textId="77777777" w:rsidR="00F854E4" w:rsidRPr="0043353F" w:rsidRDefault="00F854E4" w:rsidP="00D11C31">
      <w:pPr>
        <w:spacing w:after="0" w:line="240" w:lineRule="auto"/>
        <w:rPr>
          <w:rFonts w:ascii="Arial" w:hAnsi="Arial" w:cs="Arial"/>
          <w:sz w:val="24"/>
          <w:szCs w:val="24"/>
        </w:rPr>
      </w:pPr>
    </w:p>
    <w:p w14:paraId="166241DE" w14:textId="77777777" w:rsidR="00987F27" w:rsidRDefault="00987F27" w:rsidP="00D11C31">
      <w:pPr>
        <w:spacing w:after="0" w:line="240" w:lineRule="auto"/>
        <w:rPr>
          <w:rFonts w:ascii="Arial" w:hAnsi="Arial"/>
          <w:b/>
          <w:sz w:val="24"/>
        </w:rPr>
      </w:pPr>
      <w:r w:rsidRPr="00987F27">
        <w:rPr>
          <w:rFonts w:ascii="Arial" w:hAnsi="Arial"/>
          <w:b/>
          <w:sz w:val="24"/>
        </w:rPr>
        <w:t>Mitigating actions</w:t>
      </w:r>
    </w:p>
    <w:p w14:paraId="52859832" w14:textId="77777777" w:rsidR="00D11C31" w:rsidRPr="00987F27" w:rsidRDefault="00D11C31" w:rsidP="00D11C31">
      <w:pPr>
        <w:spacing w:after="0" w:line="240" w:lineRule="auto"/>
        <w:rPr>
          <w:rFonts w:ascii="Arial" w:hAnsi="Arial"/>
          <w:b/>
          <w:sz w:val="24"/>
        </w:rPr>
      </w:pPr>
    </w:p>
    <w:p w14:paraId="6A2C98FE" w14:textId="77777777" w:rsidR="00F854E4" w:rsidRDefault="00F854E4" w:rsidP="00D11C31">
      <w:pPr>
        <w:spacing w:after="0" w:line="240" w:lineRule="auto"/>
        <w:rPr>
          <w:rFonts w:ascii="Calibri" w:hAnsi="Calibri" w:cs="Times New Roman"/>
          <w:iCs/>
          <w:u w:val="single"/>
        </w:rPr>
      </w:pPr>
      <w:r w:rsidRPr="00987F27">
        <w:rPr>
          <w:rFonts w:ascii="Calibri" w:hAnsi="Calibri" w:cs="Times New Roman"/>
          <w:iCs/>
          <w:u w:val="single"/>
        </w:rPr>
        <w:t>Reduction in booking income</w:t>
      </w:r>
    </w:p>
    <w:p w14:paraId="4BF63884" w14:textId="77777777" w:rsidR="00D11C31" w:rsidRPr="00987F27" w:rsidRDefault="00D11C31" w:rsidP="00D11C31">
      <w:pPr>
        <w:spacing w:after="0" w:line="240" w:lineRule="auto"/>
        <w:rPr>
          <w:rFonts w:ascii="Calibri" w:hAnsi="Calibri" w:cs="Times New Roman"/>
          <w:iCs/>
          <w:u w:val="single"/>
        </w:rPr>
      </w:pPr>
    </w:p>
    <w:p w14:paraId="3FE2FD8A" w14:textId="77777777" w:rsidR="00F854E4" w:rsidRPr="00987F27" w:rsidRDefault="00F854E4" w:rsidP="00D11C31">
      <w:pPr>
        <w:spacing w:after="0" w:line="240" w:lineRule="auto"/>
        <w:rPr>
          <w:rFonts w:ascii="Calibri" w:hAnsi="Calibri" w:cs="Times New Roman"/>
          <w:iCs/>
        </w:rPr>
      </w:pPr>
      <w:r w:rsidRPr="00987F27">
        <w:rPr>
          <w:rFonts w:ascii="Calibri" w:hAnsi="Calibri" w:cs="Times New Roman"/>
          <w:iCs/>
        </w:rPr>
        <w:t>In order to reduce this risk, the Trustees:</w:t>
      </w:r>
    </w:p>
    <w:p w14:paraId="02256BF5" w14:textId="77777777" w:rsidR="00F854E4" w:rsidRPr="00987F27" w:rsidRDefault="00F854E4" w:rsidP="00D11C31">
      <w:pPr>
        <w:pStyle w:val="ListParagraph"/>
        <w:numPr>
          <w:ilvl w:val="0"/>
          <w:numId w:val="3"/>
        </w:numPr>
        <w:rPr>
          <w:iCs/>
        </w:rPr>
      </w:pPr>
      <w:r w:rsidRPr="00987F27">
        <w:rPr>
          <w:iCs/>
        </w:rPr>
        <w:t>endeavour to set hire fees at levels which would be attractive to potential hirers</w:t>
      </w:r>
    </w:p>
    <w:p w14:paraId="70AB3ACB" w14:textId="77777777" w:rsidR="00F854E4" w:rsidRPr="00987F27" w:rsidRDefault="00F854E4" w:rsidP="00D11C31">
      <w:pPr>
        <w:pStyle w:val="ListParagraph"/>
        <w:numPr>
          <w:ilvl w:val="0"/>
          <w:numId w:val="3"/>
        </w:numPr>
        <w:rPr>
          <w:iCs/>
        </w:rPr>
      </w:pPr>
      <w:r w:rsidRPr="00987F27">
        <w:rPr>
          <w:iCs/>
        </w:rPr>
        <w:t>maintain the fabric and facilities of the Hall in a good state of repair so the venue is attractive to potential hirers</w:t>
      </w:r>
    </w:p>
    <w:p w14:paraId="73FB5EB4" w14:textId="77777777" w:rsidR="00F854E4" w:rsidRPr="00987F27" w:rsidRDefault="00F854E4" w:rsidP="00D11C31">
      <w:pPr>
        <w:pStyle w:val="ListParagraph"/>
        <w:numPr>
          <w:ilvl w:val="0"/>
          <w:numId w:val="3"/>
        </w:numPr>
        <w:rPr>
          <w:iCs/>
        </w:rPr>
      </w:pPr>
      <w:r w:rsidRPr="00987F27">
        <w:rPr>
          <w:iCs/>
        </w:rPr>
        <w:t>continuously seek ways to promote the use of the Hall</w:t>
      </w:r>
    </w:p>
    <w:p w14:paraId="0D6D11F6" w14:textId="77777777" w:rsidR="00F854E4" w:rsidRPr="00987F27" w:rsidRDefault="00F854E4" w:rsidP="00D11C31">
      <w:pPr>
        <w:pStyle w:val="ListParagraph"/>
        <w:numPr>
          <w:ilvl w:val="0"/>
          <w:numId w:val="3"/>
        </w:numPr>
        <w:rPr>
          <w:iCs/>
        </w:rPr>
      </w:pPr>
      <w:r w:rsidRPr="00987F27">
        <w:rPr>
          <w:iCs/>
        </w:rPr>
        <w:t>aim to maintain a good reputation for the Hall and its Management amongst village residents and more widely</w:t>
      </w:r>
    </w:p>
    <w:p w14:paraId="2C56B381" w14:textId="77777777" w:rsidR="007D1025" w:rsidRPr="00987F27" w:rsidRDefault="007D1025" w:rsidP="00D11C31">
      <w:pPr>
        <w:spacing w:after="0" w:line="240" w:lineRule="auto"/>
        <w:rPr>
          <w:rFonts w:ascii="Calibri" w:hAnsi="Calibri" w:cs="Times New Roman"/>
          <w:iCs/>
        </w:rPr>
      </w:pPr>
    </w:p>
    <w:p w14:paraId="15312AFE" w14:textId="77777777" w:rsidR="00F854E4" w:rsidRDefault="00F854E4" w:rsidP="00D11C31">
      <w:pPr>
        <w:spacing w:after="0" w:line="240" w:lineRule="auto"/>
        <w:rPr>
          <w:rFonts w:ascii="Calibri" w:hAnsi="Calibri" w:cs="Times New Roman"/>
          <w:iCs/>
          <w:u w:val="single"/>
        </w:rPr>
      </w:pPr>
      <w:r w:rsidRPr="00987F27">
        <w:rPr>
          <w:rFonts w:ascii="Calibri" w:hAnsi="Calibri" w:cs="Times New Roman"/>
          <w:iCs/>
          <w:u w:val="single"/>
        </w:rPr>
        <w:t>Increase in expense outgo</w:t>
      </w:r>
    </w:p>
    <w:p w14:paraId="1A4AFE8F" w14:textId="77777777" w:rsidR="001D1B85" w:rsidRPr="00987F27" w:rsidRDefault="001D1B85" w:rsidP="00D11C31">
      <w:pPr>
        <w:spacing w:after="0" w:line="240" w:lineRule="auto"/>
        <w:rPr>
          <w:rFonts w:ascii="Calibri" w:hAnsi="Calibri" w:cs="Times New Roman"/>
          <w:iCs/>
          <w:u w:val="single"/>
        </w:rPr>
      </w:pPr>
    </w:p>
    <w:p w14:paraId="4A1474D6" w14:textId="77777777" w:rsidR="00F854E4" w:rsidRPr="00987F27" w:rsidRDefault="00F854E4" w:rsidP="00D11C31">
      <w:pPr>
        <w:spacing w:after="0" w:line="240" w:lineRule="auto"/>
        <w:rPr>
          <w:rFonts w:ascii="Calibri" w:hAnsi="Calibri" w:cs="Times New Roman"/>
          <w:iCs/>
        </w:rPr>
      </w:pPr>
      <w:r w:rsidRPr="00987F27">
        <w:rPr>
          <w:rFonts w:ascii="Calibri" w:hAnsi="Calibri" w:cs="Times New Roman"/>
          <w:iCs/>
        </w:rPr>
        <w:t>In order to reduce this risk, the Trustees:</w:t>
      </w:r>
    </w:p>
    <w:p w14:paraId="0DD31B20" w14:textId="77777777" w:rsidR="00F854E4" w:rsidRDefault="00F854E4" w:rsidP="00D11C31">
      <w:pPr>
        <w:pStyle w:val="ListParagraph"/>
        <w:numPr>
          <w:ilvl w:val="0"/>
          <w:numId w:val="4"/>
        </w:numPr>
        <w:rPr>
          <w:iCs/>
        </w:rPr>
      </w:pPr>
      <w:r>
        <w:rPr>
          <w:iCs/>
        </w:rPr>
        <w:t>monitor the cost of utilities and rebroke where desirable</w:t>
      </w:r>
    </w:p>
    <w:p w14:paraId="76C444E2" w14:textId="77777777" w:rsidR="00F854E4" w:rsidRDefault="00F854E4" w:rsidP="00D11C31">
      <w:pPr>
        <w:pStyle w:val="ListParagraph"/>
        <w:numPr>
          <w:ilvl w:val="0"/>
          <w:numId w:val="4"/>
        </w:numPr>
        <w:rPr>
          <w:iCs/>
        </w:rPr>
      </w:pPr>
      <w:r>
        <w:rPr>
          <w:iCs/>
        </w:rPr>
        <w:t>seek the best deal possible on any service or goods procured</w:t>
      </w:r>
    </w:p>
    <w:p w14:paraId="62937D06" w14:textId="77777777" w:rsidR="00F854E4" w:rsidRDefault="00F854E4" w:rsidP="00D11C31">
      <w:pPr>
        <w:pStyle w:val="ListParagraph"/>
        <w:numPr>
          <w:ilvl w:val="0"/>
          <w:numId w:val="4"/>
        </w:numPr>
        <w:rPr>
          <w:iCs/>
        </w:rPr>
      </w:pPr>
      <w:r>
        <w:rPr>
          <w:iCs/>
        </w:rPr>
        <w:t>consider carefully any major expenditure plans, which would generally be intended to maintain or improve the fabric or facilities of the Hall</w:t>
      </w:r>
    </w:p>
    <w:p w14:paraId="4F3030D0" w14:textId="77777777" w:rsidR="00203349" w:rsidRPr="00F854E4" w:rsidRDefault="00203349" w:rsidP="00D11C31">
      <w:pPr>
        <w:pStyle w:val="ListParagraph"/>
        <w:numPr>
          <w:ilvl w:val="0"/>
          <w:numId w:val="4"/>
        </w:numPr>
        <w:rPr>
          <w:iCs/>
        </w:rPr>
      </w:pPr>
      <w:r>
        <w:rPr>
          <w:iCs/>
        </w:rPr>
        <w:t>aim to meet all regulatory requirements and deadlines</w:t>
      </w:r>
    </w:p>
    <w:p w14:paraId="06CD690B" w14:textId="77777777" w:rsidR="003D15E3" w:rsidRDefault="003D15E3" w:rsidP="00D11C31">
      <w:pPr>
        <w:spacing w:after="0" w:line="240" w:lineRule="auto"/>
        <w:rPr>
          <w:rFonts w:ascii="Calibri" w:hAnsi="Calibri" w:cs="Times New Roman"/>
          <w:iCs/>
          <w:u w:val="single"/>
        </w:rPr>
      </w:pPr>
    </w:p>
    <w:p w14:paraId="1143776F" w14:textId="77777777" w:rsidR="003D15E3" w:rsidRDefault="007D1025" w:rsidP="00D11C31">
      <w:pPr>
        <w:spacing w:after="0" w:line="240" w:lineRule="auto"/>
        <w:rPr>
          <w:rFonts w:ascii="Calibri" w:hAnsi="Calibri" w:cs="Times New Roman"/>
          <w:iCs/>
          <w:u w:val="single"/>
        </w:rPr>
      </w:pPr>
      <w:r w:rsidRPr="007D1025">
        <w:rPr>
          <w:rFonts w:ascii="Calibri" w:hAnsi="Calibri" w:cs="Times New Roman"/>
          <w:iCs/>
          <w:u w:val="single"/>
        </w:rPr>
        <w:lastRenderedPageBreak/>
        <w:t>Public liability and d</w:t>
      </w:r>
      <w:r w:rsidR="003D15E3" w:rsidRPr="007D1025">
        <w:rPr>
          <w:rFonts w:ascii="Calibri" w:hAnsi="Calibri" w:cs="Times New Roman"/>
          <w:iCs/>
          <w:u w:val="single"/>
        </w:rPr>
        <w:t>amage to, or theft or loss of, fabric of hall or fittings/contents</w:t>
      </w:r>
    </w:p>
    <w:p w14:paraId="644985C9" w14:textId="77777777" w:rsidR="001D1B85" w:rsidRPr="007D1025" w:rsidRDefault="001D1B85" w:rsidP="00D11C31">
      <w:pPr>
        <w:spacing w:after="0" w:line="240" w:lineRule="auto"/>
        <w:rPr>
          <w:rFonts w:ascii="Calibri" w:hAnsi="Calibri" w:cs="Times New Roman"/>
          <w:iCs/>
          <w:u w:val="single"/>
        </w:rPr>
      </w:pPr>
    </w:p>
    <w:p w14:paraId="739E4D27" w14:textId="77777777" w:rsidR="007D1025" w:rsidRDefault="007D1025" w:rsidP="00D11C31">
      <w:pPr>
        <w:spacing w:after="0" w:line="240" w:lineRule="auto"/>
        <w:rPr>
          <w:rFonts w:ascii="Calibri" w:hAnsi="Calibri" w:cs="Times New Roman"/>
          <w:iCs/>
        </w:rPr>
      </w:pPr>
      <w:r w:rsidRPr="003D15E3">
        <w:rPr>
          <w:rFonts w:ascii="Calibri" w:hAnsi="Calibri" w:cs="Times New Roman"/>
          <w:iCs/>
        </w:rPr>
        <w:t xml:space="preserve">A comprehensive insurance policy is maintained to cover </w:t>
      </w:r>
      <w:r>
        <w:rPr>
          <w:rFonts w:ascii="Calibri" w:hAnsi="Calibri" w:cs="Times New Roman"/>
          <w:iCs/>
        </w:rPr>
        <w:t>the fabric of the building and contents as well as additional risks such as loss of revenue and public liability.</w:t>
      </w:r>
    </w:p>
    <w:p w14:paraId="1B02C8E8" w14:textId="77777777" w:rsidR="007D1025" w:rsidRPr="003D15E3" w:rsidRDefault="007D1025" w:rsidP="00D11C31">
      <w:pPr>
        <w:spacing w:after="0" w:line="240" w:lineRule="auto"/>
        <w:rPr>
          <w:rFonts w:ascii="Calibri" w:hAnsi="Calibri" w:cs="Times New Roman"/>
          <w:iCs/>
        </w:rPr>
      </w:pPr>
    </w:p>
    <w:p w14:paraId="54E229F2" w14:textId="77777777" w:rsidR="003D15E3" w:rsidRDefault="003D15E3" w:rsidP="00D11C31">
      <w:pPr>
        <w:spacing w:after="0" w:line="240" w:lineRule="auto"/>
        <w:rPr>
          <w:rFonts w:ascii="Calibri" w:hAnsi="Calibri" w:cs="Times New Roman"/>
          <w:iCs/>
        </w:rPr>
      </w:pPr>
      <w:r w:rsidRPr="003D15E3">
        <w:rPr>
          <w:rFonts w:ascii="Calibri" w:hAnsi="Calibri" w:cs="Times New Roman"/>
          <w:iCs/>
        </w:rPr>
        <w:t>The trustees ensure that the Hall is secured when not in use and inspect the Hall following use by hirers to ascertain if any damage has been caused which could be charged to the hirer.</w:t>
      </w:r>
    </w:p>
    <w:p w14:paraId="03701590" w14:textId="77777777" w:rsidR="007D1025" w:rsidRDefault="007D1025" w:rsidP="00D11C31">
      <w:pPr>
        <w:spacing w:after="0" w:line="240" w:lineRule="auto"/>
        <w:rPr>
          <w:rFonts w:ascii="Calibri" w:hAnsi="Calibri" w:cs="Times New Roman"/>
          <w:iCs/>
        </w:rPr>
      </w:pPr>
    </w:p>
    <w:p w14:paraId="7DF7F752" w14:textId="77777777" w:rsidR="007D1025" w:rsidRDefault="007D1025" w:rsidP="00D11C31">
      <w:pPr>
        <w:spacing w:after="0" w:line="240" w:lineRule="auto"/>
        <w:rPr>
          <w:rFonts w:ascii="Calibri" w:hAnsi="Calibri" w:cs="Times New Roman"/>
          <w:iCs/>
          <w:u w:val="single"/>
        </w:rPr>
      </w:pPr>
      <w:r w:rsidRPr="007D1025">
        <w:rPr>
          <w:rFonts w:ascii="Calibri" w:hAnsi="Calibri" w:cs="Times New Roman"/>
          <w:iCs/>
          <w:u w:val="single"/>
        </w:rPr>
        <w:t>Fraud</w:t>
      </w:r>
    </w:p>
    <w:p w14:paraId="2CD805F8" w14:textId="77777777" w:rsidR="001D1B85" w:rsidRPr="007D1025" w:rsidRDefault="001D1B85" w:rsidP="00D11C31">
      <w:pPr>
        <w:spacing w:after="0" w:line="240" w:lineRule="auto"/>
        <w:rPr>
          <w:rFonts w:ascii="Calibri" w:hAnsi="Calibri" w:cs="Times New Roman"/>
          <w:iCs/>
          <w:u w:val="single"/>
        </w:rPr>
      </w:pPr>
    </w:p>
    <w:p w14:paraId="7669B443" w14:textId="77777777" w:rsidR="007D1025" w:rsidRDefault="007D1025" w:rsidP="00D11C31">
      <w:pPr>
        <w:spacing w:after="0" w:line="240" w:lineRule="auto"/>
        <w:rPr>
          <w:rFonts w:ascii="Calibri" w:hAnsi="Calibri" w:cs="Times New Roman"/>
          <w:iCs/>
        </w:rPr>
      </w:pPr>
      <w:r>
        <w:rPr>
          <w:rFonts w:ascii="Calibri" w:hAnsi="Calibri" w:cs="Times New Roman"/>
          <w:iCs/>
        </w:rPr>
        <w:t xml:space="preserve">The trustees have in place a set of guidelines which govern the way in which money and bank accounts are dealt with by </w:t>
      </w:r>
      <w:r w:rsidR="001D1B85">
        <w:rPr>
          <w:rFonts w:ascii="Calibri" w:hAnsi="Calibri" w:cs="Times New Roman"/>
          <w:iCs/>
        </w:rPr>
        <w:t xml:space="preserve">the Treasurer, </w:t>
      </w:r>
      <w:r>
        <w:rPr>
          <w:rFonts w:ascii="Calibri" w:hAnsi="Calibri" w:cs="Times New Roman"/>
          <w:iCs/>
        </w:rPr>
        <w:t>booking clerk</w:t>
      </w:r>
      <w:r w:rsidR="001D1B85">
        <w:rPr>
          <w:rFonts w:ascii="Calibri" w:hAnsi="Calibri" w:cs="Times New Roman"/>
          <w:iCs/>
        </w:rPr>
        <w:t xml:space="preserve"> and others</w:t>
      </w:r>
      <w:r>
        <w:rPr>
          <w:rFonts w:ascii="Calibri" w:hAnsi="Calibri" w:cs="Times New Roman"/>
          <w:iCs/>
        </w:rPr>
        <w:t xml:space="preserve">. These guidelines are intended to reduce the risk of theft or fraud. </w:t>
      </w:r>
    </w:p>
    <w:p w14:paraId="50355EE2" w14:textId="77777777" w:rsidR="00D11C31" w:rsidRDefault="00D11C31" w:rsidP="00D11C31">
      <w:pPr>
        <w:spacing w:after="0" w:line="240" w:lineRule="auto"/>
        <w:rPr>
          <w:rFonts w:ascii="Calibri" w:hAnsi="Calibri" w:cs="Times New Roman"/>
          <w:iCs/>
        </w:rPr>
      </w:pPr>
    </w:p>
    <w:p w14:paraId="2A85D759" w14:textId="77777777" w:rsidR="007D1025" w:rsidRDefault="007D1025" w:rsidP="00D11C31">
      <w:pPr>
        <w:spacing w:after="0" w:line="240" w:lineRule="auto"/>
        <w:rPr>
          <w:rFonts w:ascii="Calibri" w:hAnsi="Calibri" w:cs="Times New Roman"/>
          <w:iCs/>
          <w:u w:val="single"/>
        </w:rPr>
      </w:pPr>
      <w:r w:rsidRPr="00D11C31">
        <w:rPr>
          <w:rFonts w:ascii="Calibri" w:hAnsi="Calibri" w:cs="Times New Roman"/>
          <w:iCs/>
          <w:u w:val="single"/>
        </w:rPr>
        <w:t>Investment loss/poor performance</w:t>
      </w:r>
    </w:p>
    <w:p w14:paraId="6BA3439A" w14:textId="77777777" w:rsidR="001D1B85" w:rsidRPr="00D11C31" w:rsidRDefault="001D1B85" w:rsidP="00D11C31">
      <w:pPr>
        <w:spacing w:after="0" w:line="240" w:lineRule="auto"/>
        <w:rPr>
          <w:rFonts w:ascii="Calibri" w:hAnsi="Calibri" w:cs="Times New Roman"/>
          <w:iCs/>
          <w:u w:val="single"/>
        </w:rPr>
      </w:pPr>
    </w:p>
    <w:p w14:paraId="716555B7" w14:textId="77777777" w:rsidR="007D1025" w:rsidRDefault="007D1025" w:rsidP="00D11C31">
      <w:pPr>
        <w:spacing w:after="0" w:line="240" w:lineRule="auto"/>
        <w:rPr>
          <w:rFonts w:ascii="Calibri" w:hAnsi="Calibri" w:cs="Times New Roman"/>
          <w:iCs/>
        </w:rPr>
      </w:pPr>
      <w:r>
        <w:rPr>
          <w:rFonts w:ascii="Calibri" w:hAnsi="Calibri" w:cs="Times New Roman"/>
          <w:iCs/>
        </w:rPr>
        <w:t>This risk is mitigated by the approach to investments taken by QMH and which is formalised in the separate Investment Policy document.</w:t>
      </w:r>
    </w:p>
    <w:p w14:paraId="5796478A" w14:textId="77777777" w:rsidR="00D11C31" w:rsidRDefault="00D11C31" w:rsidP="00D11C31">
      <w:pPr>
        <w:spacing w:after="0" w:line="240" w:lineRule="auto"/>
        <w:rPr>
          <w:rFonts w:ascii="Calibri" w:hAnsi="Calibri" w:cs="Times New Roman"/>
          <w:iCs/>
        </w:rPr>
      </w:pPr>
    </w:p>
    <w:p w14:paraId="3B434EED" w14:textId="77777777" w:rsidR="007D1025" w:rsidRDefault="007D1025" w:rsidP="00D11C31">
      <w:pPr>
        <w:spacing w:after="0" w:line="240" w:lineRule="auto"/>
        <w:rPr>
          <w:rFonts w:ascii="Calibri" w:hAnsi="Calibri" w:cs="Times New Roman"/>
          <w:iCs/>
        </w:rPr>
      </w:pPr>
    </w:p>
    <w:p w14:paraId="2037B31D" w14:textId="77777777" w:rsidR="007D1025" w:rsidRPr="00CF5BBF" w:rsidRDefault="007D1025" w:rsidP="00D11C31">
      <w:pPr>
        <w:spacing w:after="0" w:line="240" w:lineRule="auto"/>
        <w:rPr>
          <w:rFonts w:eastAsia="ヒラギノ角ゴ Pro W3" w:cs="Times New Roman"/>
          <w:szCs w:val="24"/>
        </w:rPr>
      </w:pPr>
      <w:r w:rsidRPr="00CF5BBF">
        <w:rPr>
          <w:rFonts w:eastAsia="ヒラギノ角ゴ Pro W3" w:cs="Times New Roman"/>
          <w:szCs w:val="24"/>
        </w:rPr>
        <w:t xml:space="preserve">Adopted on: </w:t>
      </w:r>
      <w:r w:rsidR="00AA2644">
        <w:rPr>
          <w:rFonts w:eastAsia="ヒラギノ角ゴ Pro W3" w:cs="Times New Roman"/>
          <w:szCs w:val="24"/>
        </w:rPr>
        <w:t>17 January 2017</w:t>
      </w:r>
    </w:p>
    <w:p w14:paraId="13DF3149" w14:textId="77777777" w:rsidR="007D1025" w:rsidRPr="00CF5BBF" w:rsidRDefault="007D1025" w:rsidP="00D11C31">
      <w:pPr>
        <w:spacing w:after="0" w:line="240" w:lineRule="auto"/>
        <w:rPr>
          <w:rFonts w:eastAsia="ヒラギノ角ゴ Pro W3" w:cs="Times New Roman"/>
          <w:color w:val="000000"/>
          <w:szCs w:val="24"/>
        </w:rPr>
      </w:pPr>
    </w:p>
    <w:p w14:paraId="74727783" w14:textId="0CC82B44" w:rsidR="007D1025" w:rsidRPr="00CF5BBF" w:rsidRDefault="007D1025" w:rsidP="00D11C31">
      <w:pPr>
        <w:spacing w:after="0" w:line="240" w:lineRule="auto"/>
        <w:rPr>
          <w:rFonts w:eastAsia="ヒラギノ角ゴ Pro W3" w:cs="Times New Roman"/>
          <w:szCs w:val="24"/>
        </w:rPr>
      </w:pPr>
      <w:r w:rsidRPr="00CF5BBF">
        <w:rPr>
          <w:rFonts w:eastAsia="ヒラギノ角ゴ Pro W3" w:cs="Times New Roman"/>
          <w:color w:val="000000"/>
          <w:szCs w:val="24"/>
        </w:rPr>
        <w:t>Last reviewed</w:t>
      </w:r>
      <w:r w:rsidR="009A25A7">
        <w:rPr>
          <w:rFonts w:eastAsia="ヒラギノ角ゴ Pro W3" w:cs="Times New Roman"/>
          <w:color w:val="000000"/>
          <w:szCs w:val="24"/>
        </w:rPr>
        <w:t xml:space="preserve">: </w:t>
      </w:r>
      <w:r w:rsidR="001E7105">
        <w:rPr>
          <w:rFonts w:eastAsia="ヒラギノ角ゴ Pro W3" w:cs="Times New Roman"/>
          <w:color w:val="000000"/>
          <w:szCs w:val="24"/>
        </w:rPr>
        <w:t>January 20</w:t>
      </w:r>
      <w:r w:rsidR="00096B23">
        <w:rPr>
          <w:rFonts w:eastAsia="ヒラギノ角ゴ Pro W3" w:cs="Times New Roman"/>
          <w:color w:val="000000"/>
          <w:szCs w:val="24"/>
        </w:rPr>
        <w:t>2</w:t>
      </w:r>
      <w:r w:rsidR="00F137D1">
        <w:rPr>
          <w:rFonts w:eastAsia="ヒラギノ角ゴ Pro W3" w:cs="Times New Roman"/>
          <w:color w:val="000000"/>
          <w:szCs w:val="24"/>
        </w:rPr>
        <w:t>4</w:t>
      </w:r>
    </w:p>
    <w:p w14:paraId="665FCD0E" w14:textId="77777777" w:rsidR="007D1025" w:rsidRPr="00CF5BBF" w:rsidRDefault="007D1025" w:rsidP="00D11C31">
      <w:pPr>
        <w:spacing w:after="0" w:line="240" w:lineRule="auto"/>
        <w:rPr>
          <w:rFonts w:eastAsia="ヒラギノ角ゴ Pro W3" w:cs="Times New Roman"/>
          <w:szCs w:val="24"/>
        </w:rPr>
      </w:pPr>
    </w:p>
    <w:p w14:paraId="044A84A8" w14:textId="40923173" w:rsidR="007D1025" w:rsidRDefault="007D1025" w:rsidP="00D11C31">
      <w:pPr>
        <w:spacing w:after="0" w:line="240" w:lineRule="auto"/>
      </w:pPr>
      <w:r w:rsidRPr="00CF5BBF">
        <w:rPr>
          <w:rFonts w:eastAsia="ヒラギノ角ゴ Pro W3" w:cs="Times New Roman"/>
          <w:color w:val="000000"/>
          <w:szCs w:val="24"/>
        </w:rPr>
        <w:t>Next review due</w:t>
      </w:r>
      <w:r w:rsidRPr="00CF5BBF">
        <w:rPr>
          <w:rFonts w:eastAsia="ヒラギノ角ゴ Pro W3" w:cs="Times New Roman"/>
          <w:szCs w:val="24"/>
        </w:rPr>
        <w:t xml:space="preserve">: </w:t>
      </w:r>
      <w:r w:rsidR="00AA2644">
        <w:rPr>
          <w:rFonts w:eastAsia="ヒラギノ角ゴ Pro W3" w:cs="Times New Roman"/>
          <w:szCs w:val="24"/>
        </w:rPr>
        <w:t>January 20</w:t>
      </w:r>
      <w:r w:rsidR="001E7105">
        <w:rPr>
          <w:rFonts w:eastAsia="ヒラギノ角ゴ Pro W3" w:cs="Times New Roman"/>
          <w:szCs w:val="24"/>
        </w:rPr>
        <w:t>2</w:t>
      </w:r>
      <w:r w:rsidR="00F137D1">
        <w:rPr>
          <w:rFonts w:eastAsia="ヒラギノ角ゴ Pro W3" w:cs="Times New Roman"/>
          <w:szCs w:val="24"/>
        </w:rPr>
        <w:t>5</w:t>
      </w:r>
    </w:p>
    <w:p w14:paraId="39CFCA18" w14:textId="77777777" w:rsidR="007D1025" w:rsidRDefault="007D1025" w:rsidP="003D15E3">
      <w:pPr>
        <w:rPr>
          <w:rFonts w:ascii="Calibri" w:hAnsi="Calibri" w:cs="Times New Roman"/>
          <w:iCs/>
        </w:rPr>
      </w:pPr>
    </w:p>
    <w:p w14:paraId="7388C2DF" w14:textId="77777777" w:rsidR="007D1025" w:rsidRDefault="007D1025" w:rsidP="003D15E3">
      <w:pPr>
        <w:rPr>
          <w:rFonts w:ascii="Calibri" w:hAnsi="Calibri" w:cs="Times New Roman"/>
          <w:iCs/>
        </w:rPr>
      </w:pPr>
    </w:p>
    <w:p w14:paraId="60A8E224" w14:textId="77777777" w:rsidR="007D1025" w:rsidRPr="003D15E3" w:rsidRDefault="007D1025" w:rsidP="003D15E3">
      <w:pPr>
        <w:rPr>
          <w:rFonts w:ascii="Calibri" w:hAnsi="Calibri" w:cs="Times New Roman"/>
          <w:iCs/>
        </w:rPr>
      </w:pPr>
    </w:p>
    <w:p w14:paraId="49F8661B" w14:textId="77777777" w:rsidR="003D15E3" w:rsidRDefault="003D15E3"/>
    <w:p w14:paraId="5971EA48" w14:textId="77777777" w:rsidR="00244867" w:rsidRDefault="00244867"/>
    <w:sectPr w:rsidR="002448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C16"/>
    <w:multiLevelType w:val="hybridMultilevel"/>
    <w:tmpl w:val="5BE60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BAA3667"/>
    <w:multiLevelType w:val="hybridMultilevel"/>
    <w:tmpl w:val="A8A6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EB4DCD"/>
    <w:multiLevelType w:val="hybridMultilevel"/>
    <w:tmpl w:val="4CBC4CA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2325AF1"/>
    <w:multiLevelType w:val="hybridMultilevel"/>
    <w:tmpl w:val="4D80A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an bishop">
    <w15:presenceInfo w15:providerId="Windows Live" w15:userId="5eb36b3e5410a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867"/>
    <w:rsid w:val="00063A4E"/>
    <w:rsid w:val="00096B23"/>
    <w:rsid w:val="001311C2"/>
    <w:rsid w:val="001D1B85"/>
    <w:rsid w:val="001E7105"/>
    <w:rsid w:val="00203349"/>
    <w:rsid w:val="00244867"/>
    <w:rsid w:val="00266B11"/>
    <w:rsid w:val="00301911"/>
    <w:rsid w:val="0037778E"/>
    <w:rsid w:val="003D15E3"/>
    <w:rsid w:val="0043353F"/>
    <w:rsid w:val="005C4C1B"/>
    <w:rsid w:val="006065D2"/>
    <w:rsid w:val="007A79CD"/>
    <w:rsid w:val="007D1025"/>
    <w:rsid w:val="008040EB"/>
    <w:rsid w:val="00884EC6"/>
    <w:rsid w:val="0089256D"/>
    <w:rsid w:val="00987F27"/>
    <w:rsid w:val="009A25A7"/>
    <w:rsid w:val="00AA2644"/>
    <w:rsid w:val="00B46353"/>
    <w:rsid w:val="00D11C31"/>
    <w:rsid w:val="00D36B9F"/>
    <w:rsid w:val="00F137D1"/>
    <w:rsid w:val="00F85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A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867"/>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063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A4E"/>
    <w:rPr>
      <w:rFonts w:ascii="Tahoma" w:hAnsi="Tahoma" w:cs="Tahoma"/>
      <w:sz w:val="16"/>
      <w:szCs w:val="16"/>
    </w:rPr>
  </w:style>
  <w:style w:type="paragraph" w:styleId="NoSpacing">
    <w:name w:val="No Spacing"/>
    <w:uiPriority w:val="1"/>
    <w:qFormat/>
    <w:rsid w:val="0043353F"/>
    <w:pPr>
      <w:spacing w:after="0" w:line="240" w:lineRule="auto"/>
    </w:pPr>
  </w:style>
  <w:style w:type="paragraph" w:styleId="Revision">
    <w:name w:val="Revision"/>
    <w:hidden/>
    <w:uiPriority w:val="99"/>
    <w:semiHidden/>
    <w:rsid w:val="001311C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867"/>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063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A4E"/>
    <w:rPr>
      <w:rFonts w:ascii="Tahoma" w:hAnsi="Tahoma" w:cs="Tahoma"/>
      <w:sz w:val="16"/>
      <w:szCs w:val="16"/>
    </w:rPr>
  </w:style>
  <w:style w:type="paragraph" w:styleId="NoSpacing">
    <w:name w:val="No Spacing"/>
    <w:uiPriority w:val="1"/>
    <w:qFormat/>
    <w:rsid w:val="0043353F"/>
    <w:pPr>
      <w:spacing w:after="0" w:line="240" w:lineRule="auto"/>
    </w:pPr>
  </w:style>
  <w:style w:type="paragraph" w:styleId="Revision">
    <w:name w:val="Revision"/>
    <w:hidden/>
    <w:uiPriority w:val="99"/>
    <w:semiHidden/>
    <w:rsid w:val="001311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9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Mainuser</dc:creator>
  <cp:lastModifiedBy>Nick Heirons</cp:lastModifiedBy>
  <cp:revision>2</cp:revision>
  <cp:lastPrinted>2021-02-15T13:20:00Z</cp:lastPrinted>
  <dcterms:created xsi:type="dcterms:W3CDTF">2024-03-07T11:57:00Z</dcterms:created>
  <dcterms:modified xsi:type="dcterms:W3CDTF">2024-03-07T11:57:00Z</dcterms:modified>
</cp:coreProperties>
</file>